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81" w:rsidRPr="00672264" w:rsidRDefault="00176B81" w:rsidP="00176B81">
      <w:pPr>
        <w:spacing w:after="0"/>
        <w:ind w:left="10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72264">
        <w:rPr>
          <w:rFonts w:ascii="Arial" w:hAnsi="Arial" w:cs="Arial"/>
          <w:b/>
          <w:sz w:val="20"/>
          <w:szCs w:val="20"/>
        </w:rPr>
        <w:t>Zápis z</w:t>
      </w:r>
      <w:r>
        <w:rPr>
          <w:rFonts w:ascii="Arial" w:hAnsi="Arial" w:cs="Arial"/>
          <w:b/>
          <w:sz w:val="20"/>
          <w:szCs w:val="20"/>
        </w:rPr>
        <w:t>e setkání mezi</w:t>
      </w:r>
      <w:r w:rsidRPr="00672264">
        <w:rPr>
          <w:rFonts w:ascii="Arial" w:hAnsi="Arial" w:cs="Arial"/>
          <w:b/>
          <w:sz w:val="20"/>
          <w:szCs w:val="20"/>
        </w:rPr>
        <w:t> zástupc</w:t>
      </w:r>
      <w:r>
        <w:rPr>
          <w:rFonts w:ascii="Arial" w:hAnsi="Arial" w:cs="Arial"/>
          <w:b/>
          <w:sz w:val="20"/>
          <w:szCs w:val="20"/>
        </w:rPr>
        <w:t>i</w:t>
      </w:r>
      <w:r w:rsidRPr="00672264">
        <w:rPr>
          <w:rFonts w:ascii="Arial" w:hAnsi="Arial" w:cs="Arial"/>
          <w:b/>
          <w:sz w:val="20"/>
          <w:szCs w:val="20"/>
        </w:rPr>
        <w:t xml:space="preserve"> odborových organizací </w:t>
      </w:r>
      <w:r>
        <w:rPr>
          <w:rFonts w:ascii="Arial" w:hAnsi="Arial" w:cs="Arial"/>
          <w:b/>
          <w:sz w:val="20"/>
          <w:szCs w:val="20"/>
        </w:rPr>
        <w:t>a zaměstnavatelem</w:t>
      </w:r>
    </w:p>
    <w:p w:rsidR="00176B81" w:rsidRPr="00672264" w:rsidRDefault="00176B81" w:rsidP="00176B81">
      <w:pPr>
        <w:spacing w:after="0"/>
        <w:ind w:left="108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 dne </w:t>
      </w:r>
      <w:r w:rsidR="000C06E6">
        <w:rPr>
          <w:rFonts w:ascii="Arial" w:hAnsi="Arial" w:cs="Arial"/>
          <w:b/>
          <w:sz w:val="20"/>
          <w:szCs w:val="20"/>
        </w:rPr>
        <w:t>6</w:t>
      </w:r>
      <w:r w:rsidRPr="0067226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67226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2264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1</w:t>
      </w:r>
      <w:r w:rsidR="000C06E6">
        <w:rPr>
          <w:rFonts w:ascii="Arial" w:hAnsi="Arial" w:cs="Arial"/>
          <w:b/>
          <w:sz w:val="20"/>
          <w:szCs w:val="20"/>
        </w:rPr>
        <w:t>6</w:t>
      </w:r>
    </w:p>
    <w:p w:rsidR="00176B81" w:rsidRPr="00672264" w:rsidRDefault="00176B81" w:rsidP="00176B81">
      <w:pPr>
        <w:spacing w:after="0"/>
        <w:rPr>
          <w:rFonts w:ascii="Arial" w:hAnsi="Arial" w:cs="Arial"/>
          <w:b/>
          <w:sz w:val="20"/>
          <w:szCs w:val="20"/>
        </w:rPr>
      </w:pPr>
    </w:p>
    <w:p w:rsidR="00176B81" w:rsidRDefault="00176B81" w:rsidP="00176B81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672264">
        <w:rPr>
          <w:rFonts w:ascii="Arial" w:hAnsi="Arial" w:cs="Arial"/>
          <w:b/>
          <w:sz w:val="20"/>
          <w:szCs w:val="20"/>
        </w:rPr>
        <w:t>Přítomni</w:t>
      </w:r>
      <w:r>
        <w:rPr>
          <w:rFonts w:ascii="Arial" w:hAnsi="Arial" w:cs="Arial"/>
          <w:b/>
          <w:sz w:val="20"/>
          <w:szCs w:val="20"/>
        </w:rPr>
        <w:t>:</w:t>
      </w:r>
    </w:p>
    <w:p w:rsidR="00176B81" w:rsidRDefault="00176B81" w:rsidP="00176B81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</w:p>
    <w:p w:rsidR="00176B81" w:rsidRPr="00672264" w:rsidRDefault="00176B81" w:rsidP="00176B81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672264">
        <w:rPr>
          <w:rFonts w:ascii="Arial" w:hAnsi="Arial" w:cs="Arial"/>
          <w:b/>
          <w:sz w:val="20"/>
          <w:szCs w:val="20"/>
        </w:rPr>
        <w:t>ástupci odborových organizací</w:t>
      </w:r>
      <w:r w:rsidRPr="00672264">
        <w:rPr>
          <w:rFonts w:ascii="Arial" w:hAnsi="Arial" w:cs="Arial"/>
          <w:sz w:val="20"/>
          <w:szCs w:val="20"/>
        </w:rPr>
        <w:t>:</w:t>
      </w:r>
    </w:p>
    <w:p w:rsidR="00176B81" w:rsidRDefault="00176B81" w:rsidP="00176B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Dvořák</w:t>
      </w:r>
      <w:r w:rsidR="004B6DBE" w:rsidRPr="004B6DBE">
        <w:rPr>
          <w:rFonts w:ascii="Arial" w:hAnsi="Arial" w:cs="Arial"/>
          <w:sz w:val="20"/>
          <w:szCs w:val="20"/>
        </w:rPr>
        <w:t xml:space="preserve"> </w:t>
      </w:r>
      <w:r w:rsidR="004B6DBE">
        <w:rPr>
          <w:rFonts w:ascii="Arial" w:hAnsi="Arial" w:cs="Arial"/>
          <w:sz w:val="20"/>
          <w:szCs w:val="20"/>
        </w:rPr>
        <w:t>Petr</w:t>
      </w:r>
      <w:r>
        <w:rPr>
          <w:rFonts w:ascii="Arial" w:hAnsi="Arial" w:cs="Arial"/>
          <w:sz w:val="20"/>
          <w:szCs w:val="20"/>
        </w:rPr>
        <w:t>;</w:t>
      </w:r>
      <w:r w:rsidRPr="003C2E63">
        <w:rPr>
          <w:rFonts w:ascii="Arial" w:hAnsi="Arial" w:cs="Arial"/>
          <w:sz w:val="20"/>
          <w:szCs w:val="20"/>
        </w:rPr>
        <w:t xml:space="preserve"> Fišer, Milan; Hošta, Stanislav; Dražil, Petr; </w:t>
      </w:r>
      <w:r w:rsidR="00DF0077">
        <w:rPr>
          <w:rFonts w:ascii="Arial" w:hAnsi="Arial" w:cs="Arial"/>
          <w:sz w:val="20"/>
          <w:szCs w:val="20"/>
        </w:rPr>
        <w:t>Syslová, Zuzana; Brettl, Martin</w:t>
      </w:r>
      <w:r w:rsidRPr="003C2E63">
        <w:rPr>
          <w:rFonts w:ascii="Arial" w:hAnsi="Arial" w:cs="Arial"/>
          <w:sz w:val="20"/>
          <w:szCs w:val="20"/>
        </w:rPr>
        <w:t xml:space="preserve">; </w:t>
      </w:r>
      <w:r w:rsidR="000C06E6">
        <w:rPr>
          <w:rFonts w:ascii="Arial" w:hAnsi="Arial" w:cs="Arial"/>
          <w:sz w:val="20"/>
          <w:szCs w:val="20"/>
        </w:rPr>
        <w:t>Kukelka Lumír</w:t>
      </w:r>
      <w:r w:rsidRPr="003C2E63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Šmíd Emanuel</w:t>
      </w:r>
      <w:r w:rsidR="000C06E6">
        <w:rPr>
          <w:rFonts w:ascii="Arial" w:hAnsi="Arial" w:cs="Arial"/>
          <w:sz w:val="20"/>
          <w:szCs w:val="20"/>
        </w:rPr>
        <w:t>,</w:t>
      </w:r>
      <w:r w:rsidR="000C06E6" w:rsidRPr="000C06E6">
        <w:rPr>
          <w:rFonts w:ascii="Arial" w:hAnsi="Arial" w:cs="Arial"/>
          <w:sz w:val="20"/>
          <w:szCs w:val="20"/>
        </w:rPr>
        <w:t xml:space="preserve"> </w:t>
      </w:r>
      <w:r w:rsidR="000C06E6" w:rsidRPr="003C2E63">
        <w:rPr>
          <w:rFonts w:ascii="Arial" w:hAnsi="Arial" w:cs="Arial"/>
          <w:sz w:val="20"/>
          <w:szCs w:val="20"/>
        </w:rPr>
        <w:t>Sp</w:t>
      </w:r>
      <w:r w:rsidR="000C06E6">
        <w:rPr>
          <w:rFonts w:ascii="Arial" w:hAnsi="Arial" w:cs="Arial"/>
          <w:sz w:val="20"/>
          <w:szCs w:val="20"/>
        </w:rPr>
        <w:t>oryszová, Jana; Hrubý, Miroslav</w:t>
      </w:r>
    </w:p>
    <w:p w:rsidR="00176B81" w:rsidRPr="00672264" w:rsidRDefault="00176B81" w:rsidP="00176B81">
      <w:pPr>
        <w:spacing w:after="0"/>
        <w:rPr>
          <w:rFonts w:ascii="Arial" w:hAnsi="Arial" w:cs="Arial"/>
          <w:sz w:val="20"/>
          <w:szCs w:val="20"/>
        </w:rPr>
      </w:pPr>
    </w:p>
    <w:p w:rsidR="00176B81" w:rsidRPr="00672264" w:rsidRDefault="00176B81" w:rsidP="00176B81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Zástupci</w:t>
      </w:r>
      <w:r w:rsidRPr="00672264">
        <w:rPr>
          <w:rFonts w:ascii="Arial" w:hAnsi="Arial" w:cs="Arial"/>
          <w:b/>
          <w:sz w:val="20"/>
          <w:szCs w:val="20"/>
        </w:rPr>
        <w:t xml:space="preserve"> zaměstnavatel</w:t>
      </w:r>
      <w:r>
        <w:rPr>
          <w:rFonts w:ascii="Arial" w:hAnsi="Arial" w:cs="Arial"/>
          <w:b/>
          <w:sz w:val="20"/>
          <w:szCs w:val="20"/>
        </w:rPr>
        <w:t>e:</w:t>
      </w:r>
    </w:p>
    <w:p w:rsidR="00176B81" w:rsidRDefault="000A5317" w:rsidP="00176B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Dvořák</w:t>
      </w:r>
      <w:r w:rsidRPr="001E35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Martin; </w:t>
      </w:r>
      <w:r w:rsidR="000C06E6">
        <w:rPr>
          <w:rFonts w:ascii="Arial" w:hAnsi="Arial" w:cs="Arial"/>
          <w:sz w:val="20"/>
          <w:szCs w:val="20"/>
        </w:rPr>
        <w:t>Vondrková</w:t>
      </w:r>
      <w:r w:rsidR="001E355C" w:rsidRPr="001E355C">
        <w:rPr>
          <w:rFonts w:ascii="Arial" w:hAnsi="Arial" w:cs="Arial"/>
          <w:sz w:val="20"/>
          <w:szCs w:val="20"/>
        </w:rPr>
        <w:t xml:space="preserve"> </w:t>
      </w:r>
      <w:r w:rsidR="001E355C">
        <w:rPr>
          <w:rFonts w:ascii="Arial" w:hAnsi="Arial" w:cs="Arial"/>
          <w:sz w:val="20"/>
          <w:szCs w:val="20"/>
        </w:rPr>
        <w:t>Kateřina;</w:t>
      </w:r>
      <w:r w:rsidR="000C06E6">
        <w:rPr>
          <w:rFonts w:ascii="Arial" w:hAnsi="Arial" w:cs="Arial"/>
          <w:sz w:val="20"/>
          <w:szCs w:val="20"/>
        </w:rPr>
        <w:t xml:space="preserve"> </w:t>
      </w:r>
      <w:r w:rsidR="00176B81">
        <w:rPr>
          <w:rFonts w:ascii="Arial" w:hAnsi="Arial" w:cs="Arial"/>
          <w:sz w:val="20"/>
          <w:szCs w:val="20"/>
        </w:rPr>
        <w:t>Knická</w:t>
      </w:r>
      <w:r w:rsidR="001E355C" w:rsidRPr="001E355C">
        <w:rPr>
          <w:rFonts w:ascii="Arial" w:hAnsi="Arial" w:cs="Arial"/>
          <w:sz w:val="20"/>
          <w:szCs w:val="20"/>
        </w:rPr>
        <w:t xml:space="preserve"> </w:t>
      </w:r>
      <w:r w:rsidR="001E355C">
        <w:rPr>
          <w:rFonts w:ascii="Arial" w:hAnsi="Arial" w:cs="Arial"/>
          <w:sz w:val="20"/>
          <w:szCs w:val="20"/>
        </w:rPr>
        <w:t>Andrea</w:t>
      </w:r>
    </w:p>
    <w:p w:rsidR="00176B81" w:rsidRDefault="00176B81" w:rsidP="00176B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6B81" w:rsidRPr="00176B81" w:rsidRDefault="00176B81" w:rsidP="00176B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6B81">
        <w:rPr>
          <w:rFonts w:ascii="Arial" w:hAnsi="Arial" w:cs="Arial"/>
          <w:b/>
          <w:sz w:val="20"/>
          <w:szCs w:val="20"/>
        </w:rPr>
        <w:t>Omluveni:</w:t>
      </w:r>
    </w:p>
    <w:p w:rsidR="00176B81" w:rsidRDefault="00532CEA" w:rsidP="00176B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Doleček, Jan; </w:t>
      </w:r>
      <w:r w:rsidR="00176B81" w:rsidRPr="003C2E63">
        <w:rPr>
          <w:rFonts w:ascii="Arial" w:hAnsi="Arial" w:cs="Arial"/>
          <w:sz w:val="20"/>
          <w:szCs w:val="20"/>
        </w:rPr>
        <w:t>Mujkoš, Ján</w:t>
      </w:r>
      <w:r w:rsidR="000A5317">
        <w:rPr>
          <w:rFonts w:ascii="Arial" w:hAnsi="Arial" w:cs="Arial"/>
          <w:sz w:val="20"/>
          <w:szCs w:val="20"/>
        </w:rPr>
        <w:t>;</w:t>
      </w:r>
      <w:r w:rsidR="000A5317" w:rsidRPr="000A5317">
        <w:rPr>
          <w:rFonts w:ascii="Arial" w:hAnsi="Arial" w:cs="Arial"/>
          <w:sz w:val="20"/>
          <w:szCs w:val="20"/>
        </w:rPr>
        <w:t xml:space="preserve"> </w:t>
      </w:r>
      <w:r w:rsidR="000A5317">
        <w:rPr>
          <w:rFonts w:ascii="Arial" w:hAnsi="Arial" w:cs="Arial"/>
          <w:sz w:val="20"/>
          <w:szCs w:val="20"/>
        </w:rPr>
        <w:t>Fišera</w:t>
      </w:r>
      <w:r w:rsidR="000A5317" w:rsidRPr="001E355C">
        <w:rPr>
          <w:rFonts w:ascii="Arial" w:hAnsi="Arial" w:cs="Arial"/>
          <w:sz w:val="20"/>
          <w:szCs w:val="20"/>
        </w:rPr>
        <w:t xml:space="preserve"> </w:t>
      </w:r>
      <w:r w:rsidR="000A5317">
        <w:rPr>
          <w:rFonts w:ascii="Arial" w:hAnsi="Arial" w:cs="Arial"/>
          <w:sz w:val="20"/>
          <w:szCs w:val="20"/>
        </w:rPr>
        <w:t>Jiří;</w:t>
      </w:r>
      <w:r w:rsidR="000A5317" w:rsidRPr="000A5317">
        <w:rPr>
          <w:rFonts w:ascii="Arial" w:hAnsi="Arial" w:cs="Arial"/>
          <w:sz w:val="20"/>
          <w:szCs w:val="20"/>
        </w:rPr>
        <w:t xml:space="preserve"> </w:t>
      </w:r>
      <w:r w:rsidR="000A5317">
        <w:rPr>
          <w:rFonts w:ascii="Arial" w:hAnsi="Arial" w:cs="Arial"/>
          <w:sz w:val="20"/>
          <w:szCs w:val="20"/>
        </w:rPr>
        <w:t>Kadlecová, Jana</w:t>
      </w:r>
    </w:p>
    <w:p w:rsidR="00176B81" w:rsidRPr="00672264" w:rsidRDefault="00176B81" w:rsidP="00176B81">
      <w:pPr>
        <w:spacing w:after="0"/>
        <w:rPr>
          <w:rFonts w:ascii="Arial" w:hAnsi="Arial" w:cs="Arial"/>
          <w:sz w:val="20"/>
          <w:szCs w:val="20"/>
        </w:rPr>
      </w:pPr>
    </w:p>
    <w:p w:rsidR="00176B81" w:rsidRPr="00BA32DD" w:rsidRDefault="00176B81" w:rsidP="00176B81">
      <w:pPr>
        <w:spacing w:after="0"/>
        <w:rPr>
          <w:rFonts w:ascii="Arial" w:hAnsi="Arial" w:cs="Arial"/>
          <w:b/>
          <w:sz w:val="20"/>
          <w:szCs w:val="20"/>
        </w:rPr>
      </w:pPr>
      <w:r w:rsidRPr="00BA32DD">
        <w:rPr>
          <w:rFonts w:ascii="Arial" w:hAnsi="Arial" w:cs="Arial"/>
          <w:b/>
          <w:sz w:val="20"/>
          <w:szCs w:val="20"/>
        </w:rPr>
        <w:t>Místo konání:</w:t>
      </w:r>
    </w:p>
    <w:p w:rsidR="00176B81" w:rsidRDefault="00176B81" w:rsidP="00176B81">
      <w:pPr>
        <w:spacing w:after="0"/>
        <w:rPr>
          <w:rFonts w:ascii="Arial" w:hAnsi="Arial" w:cs="Arial"/>
          <w:sz w:val="20"/>
          <w:szCs w:val="20"/>
        </w:rPr>
      </w:pPr>
      <w:r w:rsidRPr="00672264">
        <w:rPr>
          <w:rFonts w:ascii="Arial" w:hAnsi="Arial" w:cs="Arial"/>
          <w:sz w:val="20"/>
          <w:szCs w:val="20"/>
        </w:rPr>
        <w:t xml:space="preserve">zasedací místnost </w:t>
      </w:r>
      <w:r w:rsidR="000C06E6">
        <w:rPr>
          <w:rFonts w:ascii="Arial" w:hAnsi="Arial" w:cs="Arial"/>
          <w:sz w:val="20"/>
          <w:szCs w:val="20"/>
        </w:rPr>
        <w:t>Nové Spojení</w:t>
      </w:r>
      <w:r>
        <w:rPr>
          <w:rFonts w:ascii="Arial" w:hAnsi="Arial" w:cs="Arial"/>
          <w:sz w:val="20"/>
          <w:szCs w:val="20"/>
        </w:rPr>
        <w:t xml:space="preserve">, HQ Praha </w:t>
      </w:r>
      <w:r w:rsidR="000C06E6">
        <w:rPr>
          <w:rFonts w:ascii="Arial" w:hAnsi="Arial" w:cs="Arial"/>
          <w:sz w:val="20"/>
          <w:szCs w:val="20"/>
        </w:rPr>
        <w:t>Karlín, Corso Court</w:t>
      </w:r>
    </w:p>
    <w:p w:rsidR="00176B81" w:rsidRDefault="00176B81" w:rsidP="00176B81">
      <w:pPr>
        <w:spacing w:after="0"/>
        <w:rPr>
          <w:rFonts w:ascii="Arial" w:hAnsi="Arial" w:cs="Arial"/>
          <w:sz w:val="20"/>
          <w:szCs w:val="20"/>
        </w:rPr>
      </w:pPr>
    </w:p>
    <w:p w:rsidR="00176B81" w:rsidRPr="00BA32DD" w:rsidRDefault="00176B81" w:rsidP="00176B81">
      <w:pPr>
        <w:spacing w:after="0"/>
        <w:rPr>
          <w:rFonts w:ascii="Arial" w:hAnsi="Arial" w:cs="Arial"/>
          <w:b/>
          <w:sz w:val="20"/>
          <w:szCs w:val="20"/>
        </w:rPr>
      </w:pPr>
      <w:r w:rsidRPr="00BA32DD">
        <w:rPr>
          <w:rFonts w:ascii="Arial" w:hAnsi="Arial" w:cs="Arial"/>
          <w:b/>
          <w:sz w:val="20"/>
          <w:szCs w:val="20"/>
        </w:rPr>
        <w:t>Datum a čas:</w:t>
      </w:r>
    </w:p>
    <w:p w:rsidR="00176B81" w:rsidRDefault="00176B81" w:rsidP="00176B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27. 1. 2015</w:t>
      </w:r>
    </w:p>
    <w:p w:rsidR="00176B81" w:rsidRDefault="000C06E6" w:rsidP="00176B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</w:t>
      </w:r>
      <w:r w:rsidR="00176B81" w:rsidRPr="00672264">
        <w:rPr>
          <w:rFonts w:ascii="Arial" w:hAnsi="Arial" w:cs="Arial"/>
          <w:sz w:val="20"/>
          <w:szCs w:val="20"/>
        </w:rPr>
        <w:t xml:space="preserve">0 – </w:t>
      </w:r>
      <w:r w:rsidR="00176B81">
        <w:rPr>
          <w:rFonts w:ascii="Arial" w:hAnsi="Arial" w:cs="Arial"/>
          <w:sz w:val="20"/>
          <w:szCs w:val="20"/>
        </w:rPr>
        <w:t>1</w:t>
      </w:r>
      <w:r w:rsidR="00C6409A">
        <w:rPr>
          <w:rFonts w:ascii="Arial" w:hAnsi="Arial" w:cs="Arial"/>
          <w:sz w:val="20"/>
          <w:szCs w:val="20"/>
        </w:rPr>
        <w:t>5</w:t>
      </w:r>
      <w:r w:rsidR="00176B81">
        <w:rPr>
          <w:rFonts w:ascii="Arial" w:hAnsi="Arial" w:cs="Arial"/>
          <w:sz w:val="20"/>
          <w:szCs w:val="20"/>
        </w:rPr>
        <w:t>.</w:t>
      </w:r>
      <w:r w:rsidR="00C6409A">
        <w:rPr>
          <w:rFonts w:ascii="Arial" w:hAnsi="Arial" w:cs="Arial"/>
          <w:sz w:val="20"/>
          <w:szCs w:val="20"/>
        </w:rPr>
        <w:t>30</w:t>
      </w:r>
    </w:p>
    <w:p w:rsidR="003C2E63" w:rsidRDefault="003C2E63" w:rsidP="00DB3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2E63" w:rsidRPr="00176B81" w:rsidRDefault="003C2E63" w:rsidP="00DB3D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6B81">
        <w:rPr>
          <w:rFonts w:ascii="Arial" w:hAnsi="Arial" w:cs="Arial"/>
          <w:b/>
          <w:sz w:val="20"/>
          <w:szCs w:val="20"/>
        </w:rPr>
        <w:t>Agenda setkání:</w:t>
      </w:r>
    </w:p>
    <w:p w:rsidR="00830584" w:rsidRDefault="000C06E6" w:rsidP="0083058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Projednání</w:t>
      </w:r>
      <w:r w:rsidR="00B804D6">
        <w:rPr>
          <w:rFonts w:ascii="Arial" w:hAnsi="Arial" w:cs="Arial"/>
          <w:sz w:val="20"/>
          <w:szCs w:val="20"/>
        </w:rPr>
        <w:t xml:space="preserve"> změn v</w:t>
      </w:r>
      <w:r>
        <w:rPr>
          <w:rFonts w:ascii="Arial" w:hAnsi="Arial" w:cs="Arial"/>
          <w:sz w:val="20"/>
          <w:szCs w:val="20"/>
        </w:rPr>
        <w:t xml:space="preserve"> Prémiov</w:t>
      </w:r>
      <w:r w:rsidR="00B804D6">
        <w:rPr>
          <w:rFonts w:ascii="Arial" w:hAnsi="Arial" w:cs="Arial"/>
          <w:sz w:val="20"/>
          <w:szCs w:val="20"/>
        </w:rPr>
        <w:t>ém</w:t>
      </w:r>
      <w:r>
        <w:rPr>
          <w:rFonts w:ascii="Arial" w:hAnsi="Arial" w:cs="Arial"/>
          <w:sz w:val="20"/>
          <w:szCs w:val="20"/>
        </w:rPr>
        <w:t xml:space="preserve"> řá</w:t>
      </w:r>
      <w:r w:rsidR="00B804D6">
        <w:rPr>
          <w:rFonts w:ascii="Arial" w:hAnsi="Arial" w:cs="Arial"/>
          <w:sz w:val="20"/>
          <w:szCs w:val="20"/>
        </w:rPr>
        <w:t>du</w:t>
      </w:r>
    </w:p>
    <w:p w:rsidR="001E355C" w:rsidRDefault="001E355C" w:rsidP="001E3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6DBE" w:rsidRDefault="00C6409A" w:rsidP="001E35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 Brettl otevřel setkání dotazem týkající se </w:t>
      </w:r>
      <w:r w:rsidR="001E355C">
        <w:rPr>
          <w:rFonts w:ascii="Arial" w:hAnsi="Arial" w:cs="Arial"/>
          <w:sz w:val="20"/>
          <w:szCs w:val="20"/>
        </w:rPr>
        <w:t>rozdíl</w:t>
      </w:r>
      <w:r>
        <w:rPr>
          <w:rFonts w:ascii="Arial" w:hAnsi="Arial" w:cs="Arial"/>
          <w:sz w:val="20"/>
          <w:szCs w:val="20"/>
        </w:rPr>
        <w:t>u</w:t>
      </w:r>
      <w:r w:rsidR="001E355C">
        <w:rPr>
          <w:rFonts w:ascii="Arial" w:hAnsi="Arial" w:cs="Arial"/>
          <w:sz w:val="20"/>
          <w:szCs w:val="20"/>
        </w:rPr>
        <w:t xml:space="preserve"> mezi </w:t>
      </w:r>
      <w:r w:rsidR="00BE22F2">
        <w:rPr>
          <w:rFonts w:ascii="Arial" w:hAnsi="Arial" w:cs="Arial"/>
          <w:sz w:val="20"/>
          <w:szCs w:val="20"/>
        </w:rPr>
        <w:t>o</w:t>
      </w:r>
      <w:r w:rsidR="001E355C">
        <w:rPr>
          <w:rFonts w:ascii="Arial" w:hAnsi="Arial" w:cs="Arial"/>
          <w:sz w:val="20"/>
          <w:szCs w:val="20"/>
        </w:rPr>
        <w:t xml:space="preserve">blastí a </w:t>
      </w:r>
      <w:r w:rsidR="00BE22F2">
        <w:rPr>
          <w:rFonts w:ascii="Arial" w:hAnsi="Arial" w:cs="Arial"/>
          <w:sz w:val="20"/>
          <w:szCs w:val="20"/>
        </w:rPr>
        <w:t>z</w:t>
      </w:r>
      <w:r w:rsidR="001E355C">
        <w:rPr>
          <w:rFonts w:ascii="Arial" w:hAnsi="Arial" w:cs="Arial"/>
          <w:sz w:val="20"/>
          <w:szCs w:val="20"/>
        </w:rPr>
        <w:t>ávodem</w:t>
      </w:r>
      <w:r w:rsidR="00BE22F2">
        <w:rPr>
          <w:rFonts w:ascii="Arial" w:hAnsi="Arial" w:cs="Arial"/>
          <w:sz w:val="20"/>
          <w:szCs w:val="20"/>
        </w:rPr>
        <w:t xml:space="preserve"> </w:t>
      </w:r>
      <w:r w:rsidR="00BE22F2">
        <w:rPr>
          <w:rFonts w:ascii="Arial" w:hAnsi="Arial" w:cs="Arial"/>
          <w:sz w:val="20"/>
          <w:szCs w:val="20"/>
          <w:lang w:val="en-US"/>
        </w:rPr>
        <w:t xml:space="preserve">=&gt; </w:t>
      </w:r>
      <w:r w:rsidR="00BE22F2">
        <w:rPr>
          <w:rFonts w:ascii="Arial" w:hAnsi="Arial" w:cs="Arial"/>
          <w:sz w:val="20"/>
          <w:szCs w:val="20"/>
        </w:rPr>
        <w:t>pod 500 mil. Kč obratu nemůže být závod</w:t>
      </w:r>
      <w:r>
        <w:rPr>
          <w:rFonts w:ascii="Arial" w:hAnsi="Arial" w:cs="Arial"/>
          <w:sz w:val="20"/>
          <w:szCs w:val="20"/>
        </w:rPr>
        <w:t xml:space="preserve">. </w:t>
      </w:r>
      <w:r w:rsidR="001E355C">
        <w:rPr>
          <w:rFonts w:ascii="Arial" w:hAnsi="Arial" w:cs="Arial"/>
          <w:sz w:val="20"/>
          <w:szCs w:val="20"/>
        </w:rPr>
        <w:t>Rozdíl je</w:t>
      </w:r>
      <w:r w:rsidR="00BE22F2">
        <w:rPr>
          <w:rFonts w:ascii="Arial" w:hAnsi="Arial" w:cs="Arial"/>
          <w:sz w:val="20"/>
          <w:szCs w:val="20"/>
        </w:rPr>
        <w:t xml:space="preserve"> také</w:t>
      </w:r>
      <w:r w:rsidR="001E355C">
        <w:rPr>
          <w:rFonts w:ascii="Arial" w:hAnsi="Arial" w:cs="Arial"/>
          <w:sz w:val="20"/>
          <w:szCs w:val="20"/>
        </w:rPr>
        <w:t xml:space="preserve"> ve způsobu řízení dané jednotky, </w:t>
      </w:r>
      <w:r w:rsidR="00BE22F2">
        <w:rPr>
          <w:rFonts w:ascii="Arial" w:hAnsi="Arial" w:cs="Arial"/>
          <w:sz w:val="20"/>
          <w:szCs w:val="20"/>
        </w:rPr>
        <w:t>o</w:t>
      </w:r>
      <w:r w:rsidR="001E355C">
        <w:rPr>
          <w:rFonts w:ascii="Arial" w:hAnsi="Arial" w:cs="Arial"/>
          <w:sz w:val="20"/>
          <w:szCs w:val="20"/>
        </w:rPr>
        <w:t>blasti jsou přímo podřízené diviznímu řediteli</w:t>
      </w:r>
      <w:r w:rsidR="00BE22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B6DBE">
        <w:rPr>
          <w:rFonts w:ascii="Arial" w:hAnsi="Arial" w:cs="Arial"/>
          <w:sz w:val="20"/>
          <w:szCs w:val="20"/>
        </w:rPr>
        <w:t>Lumír Kukelka upozornil na složitou organizační strukturu na Silničním stavitelství, konkrétně v Uherském Hradišti.</w:t>
      </w:r>
      <w:r w:rsidR="00BE22F2">
        <w:rPr>
          <w:rFonts w:ascii="Arial" w:hAnsi="Arial" w:cs="Arial"/>
          <w:sz w:val="20"/>
          <w:szCs w:val="20"/>
        </w:rPr>
        <w:t xml:space="preserve"> </w:t>
      </w:r>
      <w:r w:rsidR="00346E39">
        <w:rPr>
          <w:rFonts w:ascii="Arial" w:hAnsi="Arial" w:cs="Arial"/>
          <w:sz w:val="20"/>
          <w:szCs w:val="20"/>
        </w:rPr>
        <w:t xml:space="preserve">Milan Fišer otevřel téma </w:t>
      </w:r>
      <w:r w:rsidR="00CB6F1F">
        <w:rPr>
          <w:rFonts w:ascii="Arial" w:hAnsi="Arial" w:cs="Arial"/>
          <w:sz w:val="20"/>
          <w:szCs w:val="20"/>
        </w:rPr>
        <w:t xml:space="preserve">úspěšnosti </w:t>
      </w:r>
      <w:proofErr w:type="spellStart"/>
      <w:r w:rsidR="00346E39">
        <w:rPr>
          <w:rFonts w:ascii="Arial" w:hAnsi="Arial" w:cs="Arial"/>
          <w:sz w:val="20"/>
          <w:szCs w:val="20"/>
        </w:rPr>
        <w:t>clu</w:t>
      </w:r>
      <w:r w:rsidR="00CB6F1F">
        <w:rPr>
          <w:rFonts w:ascii="Arial" w:hAnsi="Arial" w:cs="Arial"/>
          <w:sz w:val="20"/>
          <w:szCs w:val="20"/>
        </w:rPr>
        <w:t>sterové</w:t>
      </w:r>
      <w:proofErr w:type="spellEnd"/>
      <w:r w:rsidR="00CB6F1F">
        <w:rPr>
          <w:rFonts w:ascii="Arial" w:hAnsi="Arial" w:cs="Arial"/>
          <w:sz w:val="20"/>
          <w:szCs w:val="20"/>
        </w:rPr>
        <w:t xml:space="preserve"> česko-polské spolupráce.</w:t>
      </w:r>
    </w:p>
    <w:p w:rsidR="00BE22F2" w:rsidRDefault="00C6409A" w:rsidP="00BE22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z</w:t>
      </w:r>
      <w:r w:rsidR="00BE22F2">
        <w:rPr>
          <w:rFonts w:ascii="Arial" w:hAnsi="Arial" w:cs="Arial"/>
          <w:sz w:val="20"/>
          <w:szCs w:val="20"/>
        </w:rPr>
        <w:t>ástupc</w:t>
      </w:r>
      <w:r>
        <w:rPr>
          <w:rFonts w:ascii="Arial" w:hAnsi="Arial" w:cs="Arial"/>
          <w:sz w:val="20"/>
          <w:szCs w:val="20"/>
        </w:rPr>
        <w:t>e</w:t>
      </w:r>
      <w:r w:rsidR="00BE22F2">
        <w:rPr>
          <w:rFonts w:ascii="Arial" w:hAnsi="Arial" w:cs="Arial"/>
          <w:sz w:val="20"/>
          <w:szCs w:val="20"/>
        </w:rPr>
        <w:t xml:space="preserve"> odborových organizací </w:t>
      </w:r>
      <w:r>
        <w:rPr>
          <w:rFonts w:ascii="Arial" w:hAnsi="Arial" w:cs="Arial"/>
          <w:sz w:val="20"/>
          <w:szCs w:val="20"/>
        </w:rPr>
        <w:t>není úplně srozumitelné</w:t>
      </w:r>
      <w:r w:rsidR="00BE22F2">
        <w:rPr>
          <w:rFonts w:ascii="Arial" w:hAnsi="Arial" w:cs="Arial"/>
          <w:sz w:val="20"/>
          <w:szCs w:val="20"/>
        </w:rPr>
        <w:t xml:space="preserve"> funkc</w:t>
      </w:r>
      <w:r>
        <w:rPr>
          <w:rFonts w:ascii="Arial" w:hAnsi="Arial" w:cs="Arial"/>
          <w:sz w:val="20"/>
          <w:szCs w:val="20"/>
        </w:rPr>
        <w:t>e</w:t>
      </w:r>
      <w:r w:rsidR="00BE22F2">
        <w:rPr>
          <w:rFonts w:ascii="Arial" w:hAnsi="Arial" w:cs="Arial"/>
          <w:sz w:val="20"/>
          <w:szCs w:val="20"/>
        </w:rPr>
        <w:t xml:space="preserve"> oblastí.</w:t>
      </w:r>
    </w:p>
    <w:p w:rsidR="003C14E0" w:rsidRDefault="003C14E0" w:rsidP="001E3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14E0" w:rsidRPr="003C14E0" w:rsidRDefault="003C14E0" w:rsidP="003C14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C14E0">
        <w:rPr>
          <w:rFonts w:ascii="Arial" w:hAnsi="Arial" w:cs="Arial"/>
          <w:sz w:val="20"/>
          <w:szCs w:val="20"/>
          <w:u w:val="single"/>
        </w:rPr>
        <w:t>Projednání změn v Prémiovém řádu</w:t>
      </w:r>
    </w:p>
    <w:p w:rsidR="003C14E0" w:rsidRDefault="003C14E0" w:rsidP="001E3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14E0" w:rsidRPr="004242B5" w:rsidRDefault="003C14E0" w:rsidP="001E35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42B5">
        <w:rPr>
          <w:rFonts w:ascii="Arial" w:hAnsi="Arial" w:cs="Arial"/>
          <w:b/>
          <w:sz w:val="20"/>
          <w:szCs w:val="20"/>
        </w:rPr>
        <w:t>Zásadní změny:</w:t>
      </w:r>
    </w:p>
    <w:p w:rsidR="003C14E0" w:rsidRDefault="003C14E0" w:rsidP="001E3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14E0" w:rsidRPr="00FA1100" w:rsidRDefault="003C14E0" w:rsidP="003C14E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100">
        <w:rPr>
          <w:rFonts w:ascii="Arial" w:hAnsi="Arial" w:cs="Arial"/>
          <w:sz w:val="20"/>
          <w:szCs w:val="20"/>
        </w:rPr>
        <w:t>Maximální výše prémie – 100% (</w:t>
      </w:r>
      <w:proofErr w:type="gramStart"/>
      <w:r w:rsidRPr="00FA1100">
        <w:rPr>
          <w:rFonts w:ascii="Arial" w:hAnsi="Arial" w:cs="Arial"/>
          <w:sz w:val="20"/>
          <w:szCs w:val="20"/>
        </w:rPr>
        <w:t>tzn.</w:t>
      </w:r>
      <w:proofErr w:type="gramEnd"/>
      <w:r w:rsidRPr="00FA1100">
        <w:rPr>
          <w:rFonts w:ascii="Arial" w:hAnsi="Arial" w:cs="Arial"/>
          <w:sz w:val="20"/>
          <w:szCs w:val="20"/>
        </w:rPr>
        <w:t xml:space="preserve"> maximálně </w:t>
      </w:r>
      <w:r w:rsidR="00FA1100" w:rsidRPr="00FA1100">
        <w:rPr>
          <w:rFonts w:ascii="Arial" w:hAnsi="Arial" w:cs="Arial"/>
          <w:sz w:val="20"/>
          <w:szCs w:val="20"/>
        </w:rPr>
        <w:t xml:space="preserve">vyplacená částka </w:t>
      </w:r>
      <w:proofErr w:type="gramStart"/>
      <w:r w:rsidR="00FA1100" w:rsidRPr="00FA1100">
        <w:rPr>
          <w:sz w:val="20"/>
          <w:szCs w:val="20"/>
        </w:rPr>
        <w:t>nesmí</w:t>
      </w:r>
      <w:proofErr w:type="gramEnd"/>
      <w:r w:rsidR="00FA1100" w:rsidRPr="00FA1100">
        <w:rPr>
          <w:sz w:val="20"/>
          <w:szCs w:val="20"/>
        </w:rPr>
        <w:t xml:space="preserve"> přesáhnout součet základních mezd v daném kalendářním roce</w:t>
      </w:r>
      <w:r w:rsidRPr="00FA1100">
        <w:rPr>
          <w:rFonts w:ascii="Arial" w:hAnsi="Arial" w:cs="Arial"/>
          <w:sz w:val="20"/>
          <w:szCs w:val="20"/>
        </w:rPr>
        <w:t>)</w:t>
      </w:r>
    </w:p>
    <w:p w:rsidR="003C14E0" w:rsidRDefault="003C14E0" w:rsidP="003C14E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Týká se všech zaměstnanců Skanska včetně členů vedení společnosti.</w:t>
      </w:r>
    </w:p>
    <w:p w:rsidR="003C14E0" w:rsidRDefault="003C14E0" w:rsidP="003C14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100" w:rsidRPr="00FA1100" w:rsidRDefault="00FA1100" w:rsidP="00FA1100">
      <w:pPr>
        <w:pStyle w:val="Odstavecseseznamem"/>
        <w:numPr>
          <w:ilvl w:val="0"/>
          <w:numId w:val="3"/>
        </w:numPr>
        <w:spacing w:after="0" w:line="240" w:lineRule="auto"/>
        <w:rPr>
          <w:color w:val="1F497D"/>
        </w:rPr>
      </w:pPr>
      <w:r w:rsidRPr="00FA1100">
        <w:rPr>
          <w:rFonts w:ascii="Arial" w:hAnsi="Arial" w:cs="Arial"/>
          <w:sz w:val="20"/>
          <w:szCs w:val="20"/>
        </w:rPr>
        <w:t>Možnost p</w:t>
      </w:r>
      <w:r w:rsidR="003C14E0" w:rsidRPr="00FA1100">
        <w:rPr>
          <w:rFonts w:ascii="Arial" w:hAnsi="Arial" w:cs="Arial"/>
          <w:sz w:val="20"/>
          <w:szCs w:val="20"/>
        </w:rPr>
        <w:t xml:space="preserve">řerozdělení prémie </w:t>
      </w:r>
      <w:r w:rsidRPr="00FA1100">
        <w:rPr>
          <w:rFonts w:ascii="Arial" w:hAnsi="Arial" w:cs="Arial"/>
          <w:sz w:val="20"/>
          <w:szCs w:val="20"/>
        </w:rPr>
        <w:t xml:space="preserve">(zvýšení nebo snížení vypočtené prémie) </w:t>
      </w:r>
      <w:r w:rsidRPr="00FA1100">
        <w:rPr>
          <w:rFonts w:ascii="Arial" w:hAnsi="Arial" w:cs="Arial"/>
          <w:sz w:val="20"/>
          <w:szCs w:val="20"/>
          <w:lang w:val="en-US"/>
        </w:rPr>
        <w:t>=&gt;</w:t>
      </w:r>
      <w:r w:rsidR="003C14E0" w:rsidRPr="00FA1100">
        <w:rPr>
          <w:rFonts w:ascii="Arial" w:hAnsi="Arial" w:cs="Arial"/>
          <w:sz w:val="20"/>
          <w:szCs w:val="20"/>
        </w:rPr>
        <w:t xml:space="preserve"> maximální </w:t>
      </w:r>
      <w:r w:rsidRPr="00FA1100">
        <w:rPr>
          <w:rFonts w:ascii="Arial" w:hAnsi="Arial" w:cs="Arial"/>
          <w:sz w:val="20"/>
          <w:szCs w:val="20"/>
        </w:rPr>
        <w:t xml:space="preserve">možný </w:t>
      </w:r>
      <w:r w:rsidR="003C14E0" w:rsidRPr="00FA1100">
        <w:rPr>
          <w:rFonts w:ascii="Arial" w:hAnsi="Arial" w:cs="Arial"/>
          <w:sz w:val="20"/>
          <w:szCs w:val="20"/>
        </w:rPr>
        <w:t xml:space="preserve">rozdíl </w:t>
      </w:r>
      <w:r w:rsidRPr="00FA1100">
        <w:rPr>
          <w:rFonts w:ascii="Arial" w:hAnsi="Arial" w:cs="Arial"/>
          <w:sz w:val="20"/>
          <w:szCs w:val="20"/>
        </w:rPr>
        <w:t xml:space="preserve">je </w:t>
      </w:r>
      <w:r w:rsidR="003C14E0" w:rsidRPr="00FA1100">
        <w:rPr>
          <w:rFonts w:ascii="Arial" w:hAnsi="Arial" w:cs="Arial"/>
          <w:sz w:val="20"/>
          <w:szCs w:val="20"/>
        </w:rPr>
        <w:t>20%</w:t>
      </w:r>
      <w:r w:rsidRPr="00FA1100">
        <w:rPr>
          <w:rFonts w:ascii="Arial" w:hAnsi="Arial" w:cs="Arial"/>
          <w:sz w:val="20"/>
          <w:szCs w:val="20"/>
        </w:rPr>
        <w:t xml:space="preserve"> z vypočtené prémie</w:t>
      </w:r>
      <w:r w:rsidR="003C14E0" w:rsidRPr="00FA1100">
        <w:rPr>
          <w:rFonts w:ascii="Arial" w:hAnsi="Arial" w:cs="Arial"/>
          <w:sz w:val="20"/>
          <w:szCs w:val="20"/>
        </w:rPr>
        <w:t xml:space="preserve"> (snížení i zvýšení)</w:t>
      </w:r>
      <w:r w:rsidR="00F01113" w:rsidRPr="00FA1100">
        <w:rPr>
          <w:rFonts w:ascii="Arial" w:hAnsi="Arial" w:cs="Arial"/>
          <w:sz w:val="20"/>
          <w:szCs w:val="20"/>
        </w:rPr>
        <w:t xml:space="preserve"> na základě plnění individuálních cílů daného zaměstnance</w:t>
      </w:r>
    </w:p>
    <w:p w:rsidR="000C32E1" w:rsidRPr="00FA1100" w:rsidRDefault="000C32E1" w:rsidP="00FA1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07F" w:rsidRDefault="000C32E1" w:rsidP="00FA110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Váh</w:t>
      </w:r>
      <w:r w:rsidR="00FA110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procent prémií se </w:t>
      </w:r>
      <w:proofErr w:type="gramStart"/>
      <w:r>
        <w:rPr>
          <w:rFonts w:ascii="Arial" w:hAnsi="Arial" w:cs="Arial"/>
          <w:sz w:val="20"/>
          <w:szCs w:val="20"/>
        </w:rPr>
        <w:t>mění</w:t>
      </w:r>
      <w:proofErr w:type="gramEnd"/>
      <w:r>
        <w:rPr>
          <w:rFonts w:ascii="Arial" w:hAnsi="Arial" w:cs="Arial"/>
          <w:sz w:val="20"/>
          <w:szCs w:val="20"/>
        </w:rPr>
        <w:t xml:space="preserve"> následovně </w:t>
      </w:r>
      <w:proofErr w:type="gramStart"/>
      <w:r>
        <w:rPr>
          <w:rFonts w:ascii="Arial" w:hAnsi="Arial" w:cs="Arial"/>
          <w:sz w:val="20"/>
          <w:szCs w:val="20"/>
        </w:rPr>
        <w:t>viz</w:t>
      </w:r>
      <w:proofErr w:type="gramEnd"/>
      <w:r>
        <w:rPr>
          <w:rFonts w:ascii="Arial" w:hAnsi="Arial" w:cs="Arial"/>
          <w:sz w:val="20"/>
          <w:szCs w:val="20"/>
        </w:rPr>
        <w:t xml:space="preserve"> tabulka</w:t>
      </w:r>
    </w:p>
    <w:p w:rsidR="00FA1100" w:rsidRPr="00FA1100" w:rsidRDefault="00FA1100" w:rsidP="00FA11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794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60"/>
        <w:gridCol w:w="2500"/>
        <w:gridCol w:w="1120"/>
        <w:gridCol w:w="1120"/>
        <w:gridCol w:w="1120"/>
        <w:gridCol w:w="1120"/>
      </w:tblGrid>
      <w:tr w:rsidR="00AB207F" w:rsidRPr="00FA1100" w:rsidTr="00FA1100">
        <w:trPr>
          <w:trHeight w:val="358"/>
        </w:trPr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07F" w:rsidRPr="00FA1100" w:rsidRDefault="00AB207F" w:rsidP="004242B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07F" w:rsidRPr="00FA1100" w:rsidRDefault="00AB207F" w:rsidP="004242B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Váhy cílů</w:t>
            </w:r>
          </w:p>
        </w:tc>
      </w:tr>
      <w:tr w:rsidR="00AB207F" w:rsidRPr="00FA1100" w:rsidTr="00FA1100">
        <w:trPr>
          <w:trHeight w:val="30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ÚŘ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Organizační začlenění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Divize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Závod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Oblast</w:t>
            </w:r>
          </w:p>
        </w:tc>
      </w:tr>
      <w:tr w:rsidR="00AB207F" w:rsidRPr="00FA1100" w:rsidTr="00FA1100">
        <w:trPr>
          <w:trHeight w:val="57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1 - 3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Zaměstnanec na oblasti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70%</w:t>
            </w:r>
          </w:p>
        </w:tc>
      </w:tr>
      <w:tr w:rsidR="00AB207F" w:rsidRPr="00FA1100" w:rsidTr="00FA1100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207F" w:rsidRPr="00FA1100" w:rsidRDefault="00AB207F" w:rsidP="004242B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Zaměstnanec na závodě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0%</w:t>
            </w:r>
          </w:p>
        </w:tc>
      </w:tr>
      <w:tr w:rsidR="00AB207F" w:rsidRPr="00FA1100" w:rsidTr="00FA1100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207F" w:rsidRPr="00FA1100" w:rsidRDefault="00AB207F" w:rsidP="004242B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Zaměstnanec na divizi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07F" w:rsidRPr="00FA1100" w:rsidRDefault="00AB207F" w:rsidP="004242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110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FA1100" w:rsidRDefault="00FA1100" w:rsidP="00AD236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Tabulka vah procent prémií – dořešit jak nastavit váhy u projektového manažera/projektového týmu na oblasti</w:t>
      </w:r>
      <w:r w:rsidR="00CB6F1F">
        <w:rPr>
          <w:rFonts w:ascii="Arial" w:hAnsi="Arial" w:cs="Arial"/>
          <w:sz w:val="20"/>
          <w:szCs w:val="20"/>
        </w:rPr>
        <w:t>/ závodě</w:t>
      </w:r>
      <w:r>
        <w:rPr>
          <w:rFonts w:ascii="Arial" w:hAnsi="Arial" w:cs="Arial"/>
          <w:sz w:val="20"/>
          <w:szCs w:val="20"/>
        </w:rPr>
        <w:t xml:space="preserve"> a upravit tabulku vah procent prémií po diskusi zástupců zaměstnavatele s odborovými organizacemi.</w:t>
      </w:r>
    </w:p>
    <w:p w:rsidR="00FA1100" w:rsidRDefault="00FA1100" w:rsidP="00FA1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100" w:rsidRDefault="00FA1100" w:rsidP="00AD236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Zástupci odborových organizací vznesli dotaz týkající se </w:t>
      </w:r>
      <w:r w:rsidR="00532CEA">
        <w:rPr>
          <w:rFonts w:ascii="Arial" w:hAnsi="Arial" w:cs="Arial"/>
          <w:sz w:val="20"/>
          <w:szCs w:val="20"/>
        </w:rPr>
        <w:t>způsobu výplaty prémií.</w:t>
      </w:r>
      <w:r>
        <w:rPr>
          <w:rFonts w:ascii="Arial" w:hAnsi="Arial" w:cs="Arial"/>
          <w:sz w:val="20"/>
          <w:szCs w:val="20"/>
        </w:rPr>
        <w:t xml:space="preserve"> </w:t>
      </w:r>
      <w:r w:rsidR="00532CEA">
        <w:rPr>
          <w:rFonts w:ascii="Arial" w:hAnsi="Arial" w:cs="Arial"/>
          <w:sz w:val="20"/>
          <w:szCs w:val="20"/>
        </w:rPr>
        <w:t>Způsob</w:t>
      </w:r>
      <w:r>
        <w:rPr>
          <w:rFonts w:ascii="Arial" w:hAnsi="Arial" w:cs="Arial"/>
          <w:sz w:val="20"/>
          <w:szCs w:val="20"/>
        </w:rPr>
        <w:t xml:space="preserve"> </w:t>
      </w:r>
      <w:r w:rsidR="00532CEA">
        <w:rPr>
          <w:rFonts w:ascii="Arial" w:hAnsi="Arial" w:cs="Arial"/>
          <w:sz w:val="20"/>
          <w:szCs w:val="20"/>
        </w:rPr>
        <w:t>výplaty je založen na principu tvorby rezerv</w:t>
      </w:r>
      <w:r>
        <w:rPr>
          <w:rFonts w:ascii="Arial" w:hAnsi="Arial" w:cs="Arial"/>
          <w:sz w:val="20"/>
          <w:szCs w:val="20"/>
        </w:rPr>
        <w:t xml:space="preserve"> na prémie </w:t>
      </w:r>
      <w:r w:rsidR="00532CEA">
        <w:rPr>
          <w:rFonts w:ascii="Arial" w:hAnsi="Arial" w:cs="Arial"/>
          <w:sz w:val="20"/>
          <w:szCs w:val="20"/>
        </w:rPr>
        <w:t xml:space="preserve">v průběhu daného kalendářního roku </w:t>
      </w:r>
      <w:r>
        <w:rPr>
          <w:rFonts w:ascii="Arial" w:hAnsi="Arial" w:cs="Arial"/>
          <w:sz w:val="20"/>
          <w:szCs w:val="20"/>
        </w:rPr>
        <w:t>– jsou součástí nákladu projektu a stejně funguje i na divizích a na ředitelství.</w:t>
      </w:r>
    </w:p>
    <w:p w:rsidR="003C14E0" w:rsidRDefault="003C14E0" w:rsidP="00FA1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CEA" w:rsidRPr="004242B5" w:rsidRDefault="00532CEA" w:rsidP="00FA11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42B5">
        <w:rPr>
          <w:rFonts w:ascii="Arial" w:hAnsi="Arial" w:cs="Arial"/>
          <w:b/>
          <w:sz w:val="20"/>
          <w:szCs w:val="20"/>
        </w:rPr>
        <w:t xml:space="preserve">Další změny platné od 1. 4. 2016: </w:t>
      </w:r>
    </w:p>
    <w:p w:rsidR="00532CEA" w:rsidRPr="00FA1100" w:rsidRDefault="00532CEA" w:rsidP="00FA1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14E0" w:rsidRDefault="003C14E0" w:rsidP="003C14E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Maximální výše mimořádné odměny – stanovena ve výši dvou měsíčních </w:t>
      </w:r>
      <w:r w:rsidR="00E461F7">
        <w:rPr>
          <w:rFonts w:ascii="Arial" w:hAnsi="Arial" w:cs="Arial"/>
          <w:sz w:val="20"/>
          <w:szCs w:val="20"/>
        </w:rPr>
        <w:t xml:space="preserve">základních </w:t>
      </w:r>
      <w:r>
        <w:rPr>
          <w:rFonts w:ascii="Arial" w:hAnsi="Arial" w:cs="Arial"/>
          <w:sz w:val="20"/>
          <w:szCs w:val="20"/>
        </w:rPr>
        <w:t>mezd</w:t>
      </w:r>
      <w:r w:rsidR="00BF790A">
        <w:rPr>
          <w:rFonts w:ascii="Arial" w:hAnsi="Arial" w:cs="Arial"/>
          <w:sz w:val="20"/>
          <w:szCs w:val="20"/>
        </w:rPr>
        <w:t xml:space="preserve"> – revize pravidel mimořádných odměn</w:t>
      </w:r>
    </w:p>
    <w:p w:rsidR="003C14E0" w:rsidRPr="003C14E0" w:rsidRDefault="003C14E0" w:rsidP="003C14E0">
      <w:pPr>
        <w:pStyle w:val="Odstavecseseznamem"/>
        <w:rPr>
          <w:rFonts w:ascii="Arial" w:hAnsi="Arial" w:cs="Arial"/>
          <w:sz w:val="20"/>
          <w:szCs w:val="20"/>
        </w:rPr>
      </w:pPr>
    </w:p>
    <w:p w:rsidR="00E461F7" w:rsidRDefault="00E461F7" w:rsidP="00E461F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2CEA">
        <w:rPr>
          <w:rFonts w:ascii="Arial" w:hAnsi="Arial" w:cs="Arial"/>
          <w:sz w:val="20"/>
          <w:szCs w:val="20"/>
        </w:rPr>
        <w:t>Změna procenta prémie s možným dopadem do základních mezd</w:t>
      </w:r>
      <w:r w:rsidR="00532CEA" w:rsidRPr="00532CEA">
        <w:rPr>
          <w:rFonts w:ascii="Arial" w:hAnsi="Arial" w:cs="Arial"/>
          <w:sz w:val="20"/>
          <w:szCs w:val="20"/>
        </w:rPr>
        <w:t xml:space="preserve"> (u páteřních rolí - pozic) - s</w:t>
      </w:r>
      <w:r w:rsidRPr="00532CEA">
        <w:rPr>
          <w:rFonts w:ascii="Arial" w:hAnsi="Arial" w:cs="Arial"/>
          <w:sz w:val="20"/>
          <w:szCs w:val="20"/>
        </w:rPr>
        <w:t xml:space="preserve">eznam pozic zašle </w:t>
      </w:r>
      <w:r w:rsidR="00532CEA" w:rsidRPr="00532CEA">
        <w:rPr>
          <w:rFonts w:ascii="Arial" w:hAnsi="Arial" w:cs="Arial"/>
          <w:sz w:val="20"/>
          <w:szCs w:val="20"/>
        </w:rPr>
        <w:t>zástupcům odborových organizací</w:t>
      </w:r>
      <w:r w:rsidRPr="00532CEA">
        <w:rPr>
          <w:rFonts w:ascii="Arial" w:hAnsi="Arial" w:cs="Arial"/>
          <w:sz w:val="20"/>
          <w:szCs w:val="20"/>
        </w:rPr>
        <w:t xml:space="preserve"> Martin Dvořák (s výjimkou Pozemního stavitelství západ a Pozemního stavitelství východ, kde změna </w:t>
      </w:r>
      <w:r w:rsidR="00532CEA" w:rsidRPr="00532CEA">
        <w:rPr>
          <w:rFonts w:ascii="Arial" w:hAnsi="Arial" w:cs="Arial"/>
          <w:sz w:val="20"/>
          <w:szCs w:val="20"/>
        </w:rPr>
        <w:t>proběhne k</w:t>
      </w:r>
      <w:r w:rsidRPr="00532CEA">
        <w:rPr>
          <w:rFonts w:ascii="Arial" w:hAnsi="Arial" w:cs="Arial"/>
          <w:sz w:val="20"/>
          <w:szCs w:val="20"/>
        </w:rPr>
        <w:t xml:space="preserve"> 1.</w:t>
      </w:r>
      <w:r w:rsidR="00532CEA" w:rsidRPr="00532CEA">
        <w:rPr>
          <w:rFonts w:ascii="Arial" w:hAnsi="Arial" w:cs="Arial"/>
          <w:sz w:val="20"/>
          <w:szCs w:val="20"/>
        </w:rPr>
        <w:t xml:space="preserve"> </w:t>
      </w:r>
      <w:r w:rsidRPr="00532CEA">
        <w:rPr>
          <w:rFonts w:ascii="Arial" w:hAnsi="Arial" w:cs="Arial"/>
          <w:sz w:val="20"/>
          <w:szCs w:val="20"/>
        </w:rPr>
        <w:t>1.</w:t>
      </w:r>
      <w:r w:rsidR="00532CEA" w:rsidRPr="00532CEA">
        <w:rPr>
          <w:rFonts w:ascii="Arial" w:hAnsi="Arial" w:cs="Arial"/>
          <w:sz w:val="20"/>
          <w:szCs w:val="20"/>
        </w:rPr>
        <w:t xml:space="preserve"> </w:t>
      </w:r>
      <w:r w:rsidRPr="00532CEA">
        <w:rPr>
          <w:rFonts w:ascii="Arial" w:hAnsi="Arial" w:cs="Arial"/>
          <w:sz w:val="20"/>
          <w:szCs w:val="20"/>
        </w:rPr>
        <w:t>2017</w:t>
      </w:r>
      <w:r w:rsidR="00532CEA">
        <w:rPr>
          <w:rFonts w:ascii="Arial" w:hAnsi="Arial" w:cs="Arial"/>
          <w:sz w:val="20"/>
          <w:szCs w:val="20"/>
        </w:rPr>
        <w:t>).</w:t>
      </w:r>
    </w:p>
    <w:p w:rsidR="00532CEA" w:rsidRPr="00532CEA" w:rsidRDefault="00532CEA" w:rsidP="00532C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CEA" w:rsidRDefault="000C32E1" w:rsidP="003C14E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Zrušení složky QEH </w:t>
      </w:r>
      <w:r w:rsidR="00532CEA">
        <w:rPr>
          <w:rFonts w:ascii="Arial" w:hAnsi="Arial" w:cs="Arial"/>
          <w:sz w:val="20"/>
          <w:szCs w:val="20"/>
        </w:rPr>
        <w:t>=</w:t>
      </w:r>
      <w:r w:rsidR="00532CEA">
        <w:rPr>
          <w:rFonts w:ascii="Arial" w:hAnsi="Arial" w:cs="Arial"/>
          <w:sz w:val="20"/>
          <w:szCs w:val="20"/>
          <w:lang w:val="en-US"/>
        </w:rPr>
        <w:t>&gt;</w:t>
      </w:r>
      <w:r>
        <w:rPr>
          <w:rFonts w:ascii="Arial" w:hAnsi="Arial" w:cs="Arial"/>
          <w:sz w:val="20"/>
          <w:szCs w:val="20"/>
        </w:rPr>
        <w:t xml:space="preserve"> </w:t>
      </w:r>
      <w:r w:rsidR="00532CEA">
        <w:rPr>
          <w:rFonts w:ascii="Arial" w:hAnsi="Arial" w:cs="Arial"/>
          <w:sz w:val="20"/>
          <w:szCs w:val="20"/>
        </w:rPr>
        <w:t>připravuje se</w:t>
      </w:r>
      <w:r>
        <w:rPr>
          <w:rFonts w:ascii="Arial" w:hAnsi="Arial" w:cs="Arial"/>
          <w:sz w:val="20"/>
          <w:szCs w:val="20"/>
        </w:rPr>
        <w:t xml:space="preserve"> </w:t>
      </w:r>
      <w:r w:rsidR="00532CEA">
        <w:rPr>
          <w:rFonts w:ascii="Arial" w:hAnsi="Arial" w:cs="Arial"/>
          <w:sz w:val="20"/>
          <w:szCs w:val="20"/>
        </w:rPr>
        <w:t>jiné</w:t>
      </w:r>
      <w:r>
        <w:rPr>
          <w:rFonts w:ascii="Arial" w:hAnsi="Arial" w:cs="Arial"/>
          <w:sz w:val="20"/>
          <w:szCs w:val="20"/>
        </w:rPr>
        <w:t xml:space="preserve"> alternativ</w:t>
      </w:r>
      <w:r w:rsidR="00532CEA">
        <w:rPr>
          <w:rFonts w:ascii="Arial" w:hAnsi="Arial" w:cs="Arial"/>
          <w:sz w:val="20"/>
          <w:szCs w:val="20"/>
        </w:rPr>
        <w:t>ní řešení</w:t>
      </w:r>
      <w:r>
        <w:rPr>
          <w:rFonts w:ascii="Arial" w:hAnsi="Arial" w:cs="Arial"/>
          <w:sz w:val="20"/>
          <w:szCs w:val="20"/>
        </w:rPr>
        <w:t xml:space="preserve"> –</w:t>
      </w:r>
      <w:r w:rsidR="00532C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opatření v souladu se</w:t>
      </w:r>
      <w:r w:rsidR="00532CEA">
        <w:rPr>
          <w:rFonts w:ascii="Arial" w:hAnsi="Arial" w:cs="Arial"/>
          <w:sz w:val="20"/>
          <w:szCs w:val="20"/>
        </w:rPr>
        <w:t xml:space="preserve"> ZP (napomenutí, výtka apod.)</w:t>
      </w:r>
    </w:p>
    <w:p w:rsidR="00AD236D" w:rsidRDefault="00AD236D" w:rsidP="00532CE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Zástupci odborových organizací připomněli, že všechny prohřešky zaměstnanců bude zaměstnavatel i nadále projednávat</w:t>
      </w:r>
      <w:r w:rsidR="000C32E1" w:rsidRPr="00532CEA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 příslušnými </w:t>
      </w:r>
      <w:r w:rsidR="000C32E1" w:rsidRPr="00532CEA">
        <w:rPr>
          <w:rFonts w:ascii="Arial" w:hAnsi="Arial" w:cs="Arial"/>
          <w:sz w:val="20"/>
          <w:szCs w:val="20"/>
        </w:rPr>
        <w:t xml:space="preserve">zástupci </w:t>
      </w:r>
      <w:r>
        <w:rPr>
          <w:rFonts w:ascii="Arial" w:hAnsi="Arial" w:cs="Arial"/>
          <w:sz w:val="20"/>
          <w:szCs w:val="20"/>
        </w:rPr>
        <w:t>odborových organizací.</w:t>
      </w:r>
    </w:p>
    <w:p w:rsidR="000D3809" w:rsidRDefault="00AD236D" w:rsidP="00AD236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F790A" w:rsidRPr="00532CEA"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z w:val="20"/>
          <w:szCs w:val="20"/>
        </w:rPr>
        <w:t>ou</w:t>
      </w:r>
      <w:r w:rsidR="00BF790A" w:rsidRPr="00532CEA">
        <w:rPr>
          <w:rFonts w:ascii="Arial" w:hAnsi="Arial" w:cs="Arial"/>
          <w:sz w:val="20"/>
          <w:szCs w:val="20"/>
        </w:rPr>
        <w:t xml:space="preserve"> se i nadále řešit přestupky související s jízdou s</w:t>
      </w:r>
      <w:r>
        <w:rPr>
          <w:rFonts w:ascii="Arial" w:hAnsi="Arial" w:cs="Arial"/>
          <w:sz w:val="20"/>
          <w:szCs w:val="20"/>
        </w:rPr>
        <w:t xml:space="preserve">lužebním firemním automobilem. Připravuje se nová firemní politika používání služebních firemních vozů. V minulosti pokuty za rychlost </w:t>
      </w:r>
      <w:r>
        <w:rPr>
          <w:rFonts w:ascii="Arial" w:hAnsi="Arial" w:cs="Arial"/>
          <w:sz w:val="20"/>
          <w:szCs w:val="20"/>
          <w:lang w:val="en-US"/>
        </w:rPr>
        <w:t xml:space="preserve">=&gt;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směřovaly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do rozpočtu BOZP (za něž se pořizovalo např. za nákup defibrilátorů apod.)</w:t>
      </w:r>
    </w:p>
    <w:p w:rsidR="00D15B4F" w:rsidRDefault="00D15B4F" w:rsidP="00D15B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B4F" w:rsidRDefault="00D15B4F" w:rsidP="00D15B4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Nadace Tomáš – převzetí neziskovou organizací společnosti (včetně přesunu finančních prostředků) </w:t>
      </w:r>
      <w:r>
        <w:rPr>
          <w:rFonts w:ascii="Arial" w:hAnsi="Arial" w:cs="Arial"/>
          <w:sz w:val="20"/>
          <w:szCs w:val="20"/>
          <w:lang w:val="en-US"/>
        </w:rPr>
        <w:t>=&gt;</w:t>
      </w:r>
      <w:r>
        <w:rPr>
          <w:rFonts w:ascii="Arial" w:hAnsi="Arial" w:cs="Arial"/>
          <w:sz w:val="20"/>
          <w:szCs w:val="20"/>
        </w:rPr>
        <w:t xml:space="preserve"> nepřipojily se žádné stavební společnosti, čímž se nenaplnil původní záměr</w:t>
      </w:r>
    </w:p>
    <w:p w:rsidR="00AD236D" w:rsidRPr="00AD236D" w:rsidRDefault="00AD236D" w:rsidP="00AD2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852" w:rsidRDefault="000D3809" w:rsidP="00A86852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Navýšení mezd u ostatních pozic mimo výše uvedených a zmíněných</w:t>
      </w:r>
    </w:p>
    <w:p w:rsidR="00AD236D" w:rsidRDefault="00AD236D" w:rsidP="00AD236D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Zástupci odborových organizací upozornili na skutečnost, že je potřeba zaměstnancům mzdy zvýšit i s ohledem za oživení trhu, přičemž navrhují:</w:t>
      </w:r>
    </w:p>
    <w:p w:rsidR="00AD236D" w:rsidRDefault="00AD236D" w:rsidP="00AD236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D236D">
        <w:rPr>
          <w:rFonts w:ascii="Arial" w:hAnsi="Arial" w:cs="Arial"/>
          <w:sz w:val="20"/>
          <w:szCs w:val="20"/>
        </w:rPr>
        <w:t xml:space="preserve">zvýšení mezd </w:t>
      </w:r>
      <w:r>
        <w:rPr>
          <w:rFonts w:ascii="Arial" w:hAnsi="Arial" w:cs="Arial"/>
          <w:sz w:val="20"/>
          <w:szCs w:val="20"/>
        </w:rPr>
        <w:t>o 3% plošně a celkem 5% v</w:t>
      </w:r>
      <w:r w:rsidR="008755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průměru</w:t>
      </w:r>
      <w:r w:rsidR="008755A0">
        <w:rPr>
          <w:rFonts w:ascii="Arial" w:hAnsi="Arial" w:cs="Arial"/>
          <w:sz w:val="20"/>
          <w:szCs w:val="20"/>
        </w:rPr>
        <w:t xml:space="preserve"> a pravidelná valorizace mezd od příštího roku v rámci PKS</w:t>
      </w:r>
    </w:p>
    <w:p w:rsidR="008755A0" w:rsidRPr="008755A0" w:rsidRDefault="00AD236D" w:rsidP="008755A0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zvýšení mezd v podobě přidání všem zaměstnancům stejnou částku (rozmezí navržené částky 1200 až 1800 Kč</w:t>
      </w:r>
      <w:r w:rsidR="008755A0">
        <w:rPr>
          <w:rFonts w:ascii="Arial" w:hAnsi="Arial" w:cs="Arial"/>
          <w:sz w:val="20"/>
          <w:szCs w:val="20"/>
        </w:rPr>
        <w:t xml:space="preserve"> do měsíční základní mzdy</w:t>
      </w:r>
      <w:r>
        <w:rPr>
          <w:rFonts w:ascii="Arial" w:hAnsi="Arial" w:cs="Arial"/>
          <w:sz w:val="20"/>
          <w:szCs w:val="20"/>
        </w:rPr>
        <w:t xml:space="preserve">) </w:t>
      </w:r>
      <w:r w:rsidR="008755A0">
        <w:rPr>
          <w:rFonts w:ascii="Arial" w:hAnsi="Arial" w:cs="Arial"/>
          <w:sz w:val="20"/>
          <w:szCs w:val="20"/>
        </w:rPr>
        <w:t>a pravidelná valorizace mezd od příštího roku v rámci PKS</w:t>
      </w:r>
    </w:p>
    <w:p w:rsidR="00532CEA" w:rsidRPr="008755A0" w:rsidRDefault="008755A0" w:rsidP="008755A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Zvažuje se i odměna formou </w:t>
      </w:r>
      <w:proofErr w:type="spellStart"/>
      <w:r>
        <w:rPr>
          <w:rFonts w:ascii="Arial" w:hAnsi="Arial" w:cs="Arial"/>
          <w:sz w:val="20"/>
          <w:szCs w:val="20"/>
        </w:rPr>
        <w:t>benefitu</w:t>
      </w:r>
      <w:proofErr w:type="spellEnd"/>
      <w:r w:rsidR="00AD236D" w:rsidRPr="008755A0">
        <w:rPr>
          <w:rFonts w:ascii="Arial" w:hAnsi="Arial" w:cs="Arial"/>
          <w:sz w:val="20"/>
          <w:szCs w:val="20"/>
        </w:rPr>
        <w:t xml:space="preserve"> – výhodné z daňového pohledu pro zaměstnance i zaměstnavatele.</w:t>
      </w:r>
    </w:p>
    <w:p w:rsidR="00532CEA" w:rsidRDefault="00AD236D" w:rsidP="00AD23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1.</w:t>
      </w:r>
      <w:r w:rsidR="008755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</w:t>
      </w:r>
      <w:r w:rsidR="008755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2016 proběhne </w:t>
      </w:r>
      <w:r w:rsidRPr="00AD236D">
        <w:rPr>
          <w:rFonts w:ascii="Arial" w:hAnsi="Arial" w:cs="Arial"/>
          <w:sz w:val="20"/>
          <w:szCs w:val="20"/>
        </w:rPr>
        <w:t>aktualizace mzdových výměrů</w:t>
      </w:r>
      <w:r>
        <w:rPr>
          <w:rFonts w:ascii="Arial" w:hAnsi="Arial" w:cs="Arial"/>
          <w:sz w:val="20"/>
          <w:szCs w:val="20"/>
        </w:rPr>
        <w:t xml:space="preserve"> v souladu s výše uvedenými plánovanými změnami.</w:t>
      </w:r>
    </w:p>
    <w:p w:rsidR="00CB6F1F" w:rsidRPr="009E797E" w:rsidRDefault="00CB6F1F" w:rsidP="00CB6F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má v úmyslu narovnat mzdy napříč Skanska.</w:t>
      </w:r>
    </w:p>
    <w:p w:rsidR="00AD236D" w:rsidRDefault="00AD236D" w:rsidP="00AD2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CEA" w:rsidRDefault="00CB6F1F" w:rsidP="00A86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Zástupci odborových organizací upozornili na realizaci p</w:t>
      </w:r>
      <w:r w:rsidR="00532CEA">
        <w:rPr>
          <w:rFonts w:ascii="Arial" w:hAnsi="Arial" w:cs="Arial"/>
          <w:sz w:val="20"/>
          <w:szCs w:val="20"/>
        </w:rPr>
        <w:t>rojekt</w:t>
      </w:r>
      <w:r>
        <w:rPr>
          <w:rFonts w:ascii="Arial" w:hAnsi="Arial" w:cs="Arial"/>
          <w:sz w:val="20"/>
          <w:szCs w:val="20"/>
        </w:rPr>
        <w:t>u</w:t>
      </w:r>
      <w:r w:rsidR="00532C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CEA">
        <w:rPr>
          <w:rFonts w:ascii="Arial" w:hAnsi="Arial" w:cs="Arial"/>
          <w:sz w:val="20"/>
          <w:szCs w:val="20"/>
        </w:rPr>
        <w:t>One</w:t>
      </w:r>
      <w:proofErr w:type="spellEnd"/>
      <w:r w:rsidR="00532CE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32CEA">
        <w:rPr>
          <w:rFonts w:ascii="Arial" w:hAnsi="Arial" w:cs="Arial"/>
          <w:sz w:val="20"/>
          <w:szCs w:val="20"/>
        </w:rPr>
        <w:t>Skanska</w:t>
      </w:r>
      <w:proofErr w:type="spellEnd"/>
      <w:r>
        <w:rPr>
          <w:rFonts w:ascii="Arial" w:hAnsi="Arial" w:cs="Arial"/>
          <w:sz w:val="20"/>
          <w:szCs w:val="20"/>
        </w:rPr>
        <w:t xml:space="preserve"> ( Jedna</w:t>
      </w:r>
      <w:proofErr w:type="gramEnd"/>
      <w:r>
        <w:rPr>
          <w:rFonts w:ascii="Arial" w:hAnsi="Arial" w:cs="Arial"/>
          <w:sz w:val="20"/>
          <w:szCs w:val="20"/>
        </w:rPr>
        <w:t xml:space="preserve"> Skanska) </w:t>
      </w:r>
      <w:r w:rsidR="00532CEA">
        <w:rPr>
          <w:rFonts w:ascii="Arial" w:hAnsi="Arial" w:cs="Arial"/>
          <w:sz w:val="20"/>
          <w:szCs w:val="20"/>
        </w:rPr>
        <w:t>– kulturní změna trv</w:t>
      </w:r>
      <w:r>
        <w:rPr>
          <w:rFonts w:ascii="Arial" w:hAnsi="Arial" w:cs="Arial"/>
          <w:sz w:val="20"/>
          <w:szCs w:val="20"/>
        </w:rPr>
        <w:t>á déle oproti organizační změně</w:t>
      </w:r>
    </w:p>
    <w:p w:rsidR="008755A0" w:rsidRPr="000E1FF5" w:rsidRDefault="008755A0" w:rsidP="00A86852">
      <w:pPr>
        <w:rPr>
          <w:rFonts w:ascii="Arial" w:hAnsi="Arial" w:cs="Arial"/>
          <w:sz w:val="20"/>
          <w:szCs w:val="20"/>
          <w:u w:val="single"/>
        </w:rPr>
      </w:pPr>
      <w:r w:rsidRPr="000E1FF5">
        <w:rPr>
          <w:rFonts w:ascii="Arial" w:hAnsi="Arial" w:cs="Arial"/>
          <w:sz w:val="20"/>
          <w:szCs w:val="20"/>
          <w:u w:val="single"/>
        </w:rPr>
        <w:t>Zástupci odborových organizací požádali:</w:t>
      </w:r>
    </w:p>
    <w:p w:rsidR="00B65E60" w:rsidRDefault="008755A0" w:rsidP="008755A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755A0">
        <w:rPr>
          <w:rFonts w:ascii="Arial" w:hAnsi="Arial" w:cs="Arial"/>
          <w:sz w:val="20"/>
          <w:szCs w:val="20"/>
        </w:rPr>
        <w:t>o z</w:t>
      </w:r>
      <w:r w:rsidR="00B65E60" w:rsidRPr="008755A0">
        <w:rPr>
          <w:rFonts w:ascii="Arial" w:hAnsi="Arial" w:cs="Arial"/>
          <w:sz w:val="20"/>
          <w:szCs w:val="20"/>
        </w:rPr>
        <w:t xml:space="preserve">výšení částky stravného – o 10 Kč u </w:t>
      </w:r>
      <w:r w:rsidR="000E1FF5">
        <w:rPr>
          <w:rFonts w:ascii="Arial" w:hAnsi="Arial" w:cs="Arial"/>
          <w:sz w:val="20"/>
          <w:szCs w:val="20"/>
        </w:rPr>
        <w:t xml:space="preserve">tuzemské pracovní </w:t>
      </w:r>
      <w:r w:rsidR="00B65E60" w:rsidRPr="008755A0">
        <w:rPr>
          <w:rFonts w:ascii="Arial" w:hAnsi="Arial" w:cs="Arial"/>
          <w:sz w:val="20"/>
          <w:szCs w:val="20"/>
        </w:rPr>
        <w:t>cesty, která trvá více než 18 hodin denně</w:t>
      </w:r>
      <w:r w:rsidRPr="008755A0">
        <w:rPr>
          <w:rFonts w:ascii="Arial" w:hAnsi="Arial" w:cs="Arial"/>
          <w:sz w:val="20"/>
          <w:szCs w:val="20"/>
        </w:rPr>
        <w:t>, což je z jejich pohledu p</w:t>
      </w:r>
      <w:r>
        <w:rPr>
          <w:rFonts w:ascii="Arial" w:hAnsi="Arial" w:cs="Arial"/>
          <w:sz w:val="20"/>
          <w:szCs w:val="20"/>
        </w:rPr>
        <w:t>ro zaměstnance velmi motivující</w:t>
      </w:r>
    </w:p>
    <w:p w:rsidR="008755A0" w:rsidRPr="008755A0" w:rsidRDefault="008755A0" w:rsidP="008755A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755A0">
        <w:rPr>
          <w:rFonts w:ascii="Arial" w:hAnsi="Arial" w:cs="Arial"/>
          <w:sz w:val="20"/>
          <w:szCs w:val="20"/>
        </w:rPr>
        <w:t>o příprav</w:t>
      </w:r>
      <w:r>
        <w:rPr>
          <w:rFonts w:ascii="Arial" w:hAnsi="Arial" w:cs="Arial"/>
          <w:sz w:val="20"/>
          <w:szCs w:val="20"/>
        </w:rPr>
        <w:t>u</w:t>
      </w:r>
      <w:r w:rsidR="000E1FF5">
        <w:rPr>
          <w:rFonts w:ascii="Arial" w:hAnsi="Arial" w:cs="Arial"/>
          <w:sz w:val="20"/>
          <w:szCs w:val="20"/>
        </w:rPr>
        <w:t xml:space="preserve"> darovacích smluv (</w:t>
      </w:r>
      <w:r w:rsidRPr="008755A0">
        <w:rPr>
          <w:rFonts w:ascii="Arial" w:hAnsi="Arial" w:cs="Arial"/>
          <w:sz w:val="20"/>
          <w:szCs w:val="20"/>
        </w:rPr>
        <w:t>začno</w:t>
      </w:r>
      <w:r>
        <w:rPr>
          <w:rFonts w:ascii="Arial" w:hAnsi="Arial" w:cs="Arial"/>
          <w:sz w:val="20"/>
          <w:szCs w:val="20"/>
        </w:rPr>
        <w:t xml:space="preserve">u </w:t>
      </w:r>
      <w:r w:rsidR="000E1FF5" w:rsidRPr="008755A0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připravovat po roční uzávěrce</w:t>
      </w:r>
      <w:r w:rsidR="000E1FF5">
        <w:rPr>
          <w:rFonts w:ascii="Arial" w:hAnsi="Arial" w:cs="Arial"/>
          <w:sz w:val="20"/>
          <w:szCs w:val="20"/>
        </w:rPr>
        <w:t>)</w:t>
      </w:r>
    </w:p>
    <w:p w:rsidR="008755A0" w:rsidRDefault="008755A0" w:rsidP="008755A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projednání </w:t>
      </w:r>
      <w:r w:rsidR="000E1FF5">
        <w:rPr>
          <w:rFonts w:ascii="Arial" w:hAnsi="Arial" w:cs="Arial"/>
          <w:sz w:val="20"/>
          <w:szCs w:val="20"/>
        </w:rPr>
        <w:t>návrhu odborových organizací na Management Meetingu =</w:t>
      </w:r>
      <w:r w:rsidR="000E1FF5">
        <w:rPr>
          <w:rFonts w:ascii="Arial" w:hAnsi="Arial" w:cs="Arial"/>
          <w:sz w:val="20"/>
          <w:szCs w:val="20"/>
          <w:lang w:val="en-US"/>
        </w:rPr>
        <w:t>&gt;</w:t>
      </w:r>
      <w:r w:rsidR="000E1FF5">
        <w:rPr>
          <w:rFonts w:ascii="Arial" w:hAnsi="Arial" w:cs="Arial"/>
          <w:sz w:val="20"/>
          <w:szCs w:val="20"/>
        </w:rPr>
        <w:t>nároku</w:t>
      </w:r>
      <w:r>
        <w:rPr>
          <w:rFonts w:ascii="Arial" w:hAnsi="Arial" w:cs="Arial"/>
          <w:sz w:val="20"/>
          <w:szCs w:val="20"/>
        </w:rPr>
        <w:t xml:space="preserve"> tzv. SICK</w:t>
      </w:r>
      <w:r w:rsidR="00D15B4F">
        <w:rPr>
          <w:rFonts w:ascii="Arial" w:hAnsi="Arial" w:cs="Arial"/>
          <w:sz w:val="20"/>
          <w:szCs w:val="20"/>
        </w:rPr>
        <w:t xml:space="preserve"> DAYS – 4 dny za rok pro zaměstnance, kteří jsou u společnosti nad 5 let</w:t>
      </w:r>
    </w:p>
    <w:p w:rsidR="00D15B4F" w:rsidRDefault="00D15B4F" w:rsidP="00D15B4F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realizaci zkoušek jako </w:t>
      </w:r>
      <w:r w:rsidRPr="00D15B4F">
        <w:rPr>
          <w:rFonts w:ascii="Arial" w:hAnsi="Arial" w:cs="Arial"/>
          <w:sz w:val="20"/>
          <w:szCs w:val="20"/>
        </w:rPr>
        <w:t>při kolaudac</w:t>
      </w:r>
      <w:r>
        <w:rPr>
          <w:rFonts w:ascii="Arial" w:hAnsi="Arial" w:cs="Arial"/>
          <w:sz w:val="20"/>
          <w:szCs w:val="20"/>
        </w:rPr>
        <w:t>i na novém</w:t>
      </w:r>
      <w:r w:rsidR="00CB6F1F">
        <w:rPr>
          <w:rFonts w:ascii="Arial" w:hAnsi="Arial" w:cs="Arial"/>
          <w:sz w:val="20"/>
          <w:szCs w:val="20"/>
        </w:rPr>
        <w:t xml:space="preserve"> sídle </w:t>
      </w:r>
      <w:r w:rsidRPr="00D15B4F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D15B4F">
        <w:rPr>
          <w:rFonts w:ascii="Arial" w:hAnsi="Arial" w:cs="Arial"/>
          <w:sz w:val="20"/>
          <w:szCs w:val="20"/>
          <w:lang w:val="en-US"/>
        </w:rPr>
        <w:t>Corso</w:t>
      </w:r>
      <w:proofErr w:type="spellEnd"/>
      <w:r w:rsidRPr="00D15B4F">
        <w:rPr>
          <w:rFonts w:ascii="Arial" w:hAnsi="Arial" w:cs="Arial"/>
          <w:sz w:val="20"/>
          <w:szCs w:val="20"/>
          <w:lang w:val="en-US"/>
        </w:rPr>
        <w:t xml:space="preserve"> Court</w:t>
      </w:r>
      <w:r w:rsidR="00CB6F1F">
        <w:rPr>
          <w:rFonts w:ascii="Arial" w:hAnsi="Arial" w:cs="Arial"/>
          <w:sz w:val="20"/>
          <w:szCs w:val="20"/>
        </w:rPr>
        <w:t xml:space="preserve"> (</w:t>
      </w:r>
      <w:r w:rsidRPr="00D15B4F">
        <w:rPr>
          <w:rFonts w:ascii="Arial" w:hAnsi="Arial" w:cs="Arial"/>
          <w:sz w:val="20"/>
          <w:szCs w:val="20"/>
        </w:rPr>
        <w:t>objednat měření –</w:t>
      </w:r>
      <w:r w:rsidR="00CB6F1F">
        <w:rPr>
          <w:rFonts w:ascii="Arial" w:hAnsi="Arial" w:cs="Arial"/>
          <w:sz w:val="20"/>
          <w:szCs w:val="20"/>
        </w:rPr>
        <w:t xml:space="preserve"> vlhkost/ výměna vzduchu apod.)</w:t>
      </w:r>
    </w:p>
    <w:p w:rsidR="00CB6F1F" w:rsidRPr="00D15B4F" w:rsidRDefault="00CB6F1F" w:rsidP="00D15B4F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 </w:t>
      </w:r>
      <w:r w:rsidRPr="00CB6F1F">
        <w:rPr>
          <w:rFonts w:ascii="Arial" w:hAnsi="Arial" w:cs="Arial"/>
          <w:sz w:val="20"/>
          <w:szCs w:val="20"/>
        </w:rPr>
        <w:t>distribuci aktuální tabulky s navyšováním mezd =&gt; Martin Dvořák rozpošle na všechny zástupce odborových organizací</w:t>
      </w:r>
    </w:p>
    <w:p w:rsidR="000E1FF5" w:rsidRDefault="000E1FF5" w:rsidP="000E1FF5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informaci ke katalogu pozic, konkrétně jak se budou řešit zaměstnanci v pozicích, kteří nemají autorizaci na Divizi Železničního stavitelství. Drážní předpisy musí naše společnost dodržovat</w:t>
      </w:r>
    </w:p>
    <w:p w:rsidR="000E1FF5" w:rsidRPr="00CB6F1F" w:rsidRDefault="000E1FF5" w:rsidP="000E1FF5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naplánování společných jednání zástupců zaměstnavatele a odborových organizací</w:t>
      </w:r>
    </w:p>
    <w:p w:rsidR="00CB6F1F" w:rsidRPr="00CB6F1F" w:rsidRDefault="00CB6F1F" w:rsidP="00CB6F1F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zvážení záměru nabídnout zaměstnancům měření imunity</w:t>
      </w:r>
      <w:r w:rsidR="000E1FF5">
        <w:rPr>
          <w:rFonts w:ascii="Arial" w:hAnsi="Arial" w:cs="Arial"/>
          <w:sz w:val="20"/>
          <w:szCs w:val="20"/>
        </w:rPr>
        <w:t xml:space="preserve"> na pracovišti</w:t>
      </w:r>
    </w:p>
    <w:p w:rsidR="00E57C0B" w:rsidRDefault="00E57C0B" w:rsidP="001E35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Diskutovalo se př</w:t>
      </w:r>
      <w:r w:rsidR="00F01113">
        <w:rPr>
          <w:rFonts w:ascii="Arial" w:hAnsi="Arial" w:cs="Arial"/>
          <w:sz w:val="20"/>
          <w:szCs w:val="20"/>
        </w:rPr>
        <w:t>evod</w:t>
      </w:r>
      <w:r w:rsidR="00CB6F1F">
        <w:rPr>
          <w:rFonts w:ascii="Arial" w:hAnsi="Arial" w:cs="Arial"/>
          <w:sz w:val="20"/>
          <w:szCs w:val="20"/>
        </w:rPr>
        <w:t>em</w:t>
      </w:r>
      <w:r w:rsidR="00F01113">
        <w:rPr>
          <w:rFonts w:ascii="Arial" w:hAnsi="Arial" w:cs="Arial"/>
          <w:sz w:val="20"/>
          <w:szCs w:val="20"/>
        </w:rPr>
        <w:t xml:space="preserve"> zaměstnanců na ředitelství (HR, právní, BOZP, ekonomové)</w:t>
      </w:r>
      <w:r w:rsidR="00CB6F1F">
        <w:rPr>
          <w:rFonts w:ascii="Arial" w:hAnsi="Arial" w:cs="Arial"/>
          <w:sz w:val="20"/>
          <w:szCs w:val="20"/>
        </w:rPr>
        <w:t>.</w:t>
      </w:r>
    </w:p>
    <w:p w:rsidR="00AB207F" w:rsidRDefault="00AB207F" w:rsidP="001E35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B207F" w:rsidSect="00FA1100">
      <w:pgSz w:w="11906" w:h="16838"/>
      <w:pgMar w:top="1134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28F"/>
    <w:multiLevelType w:val="hybridMultilevel"/>
    <w:tmpl w:val="3BCE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F5B54"/>
    <w:multiLevelType w:val="hybridMultilevel"/>
    <w:tmpl w:val="DBBA1EB4"/>
    <w:lvl w:ilvl="0" w:tplc="1C8ED5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4DE6"/>
    <w:multiLevelType w:val="hybridMultilevel"/>
    <w:tmpl w:val="75F0F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A0291"/>
    <w:multiLevelType w:val="hybridMultilevel"/>
    <w:tmpl w:val="666C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4285B"/>
    <w:multiLevelType w:val="hybridMultilevel"/>
    <w:tmpl w:val="6C405A34"/>
    <w:lvl w:ilvl="0" w:tplc="01AC6E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E5690"/>
    <w:multiLevelType w:val="hybridMultilevel"/>
    <w:tmpl w:val="92903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C43BF"/>
    <w:multiLevelType w:val="hybridMultilevel"/>
    <w:tmpl w:val="40625B6A"/>
    <w:lvl w:ilvl="0" w:tplc="C708FE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E63"/>
    <w:rsid w:val="000625A5"/>
    <w:rsid w:val="000A5317"/>
    <w:rsid w:val="000A5320"/>
    <w:rsid w:val="000C06E6"/>
    <w:rsid w:val="000C32E1"/>
    <w:rsid w:val="000D3809"/>
    <w:rsid w:val="000D767F"/>
    <w:rsid w:val="000D77A9"/>
    <w:rsid w:val="000E1FF5"/>
    <w:rsid w:val="00176B81"/>
    <w:rsid w:val="00195FD5"/>
    <w:rsid w:val="001A2AC1"/>
    <w:rsid w:val="001E355C"/>
    <w:rsid w:val="001F15ED"/>
    <w:rsid w:val="001F3D5D"/>
    <w:rsid w:val="002826A9"/>
    <w:rsid w:val="00346E39"/>
    <w:rsid w:val="0035757A"/>
    <w:rsid w:val="003626D7"/>
    <w:rsid w:val="00373C73"/>
    <w:rsid w:val="00377A0F"/>
    <w:rsid w:val="003C14E0"/>
    <w:rsid w:val="003C2E63"/>
    <w:rsid w:val="003D56D6"/>
    <w:rsid w:val="003E639B"/>
    <w:rsid w:val="003F551E"/>
    <w:rsid w:val="00407821"/>
    <w:rsid w:val="004242B5"/>
    <w:rsid w:val="004B2112"/>
    <w:rsid w:val="004B6DBE"/>
    <w:rsid w:val="004E1EFC"/>
    <w:rsid w:val="004F7517"/>
    <w:rsid w:val="00532CEA"/>
    <w:rsid w:val="005E6CFC"/>
    <w:rsid w:val="00605DEB"/>
    <w:rsid w:val="0062730C"/>
    <w:rsid w:val="006323B8"/>
    <w:rsid w:val="00686436"/>
    <w:rsid w:val="006E6260"/>
    <w:rsid w:val="007646A2"/>
    <w:rsid w:val="0078750A"/>
    <w:rsid w:val="007C0C77"/>
    <w:rsid w:val="007C2B1D"/>
    <w:rsid w:val="00830584"/>
    <w:rsid w:val="00841583"/>
    <w:rsid w:val="008755A0"/>
    <w:rsid w:val="00893366"/>
    <w:rsid w:val="008E0FD0"/>
    <w:rsid w:val="008F01D1"/>
    <w:rsid w:val="00952C4F"/>
    <w:rsid w:val="00995157"/>
    <w:rsid w:val="009B22DF"/>
    <w:rsid w:val="009E797E"/>
    <w:rsid w:val="00A03F39"/>
    <w:rsid w:val="00A157C7"/>
    <w:rsid w:val="00A86852"/>
    <w:rsid w:val="00AB207F"/>
    <w:rsid w:val="00AB3BDC"/>
    <w:rsid w:val="00AC1D20"/>
    <w:rsid w:val="00AD236D"/>
    <w:rsid w:val="00AF2486"/>
    <w:rsid w:val="00B14A35"/>
    <w:rsid w:val="00B263F3"/>
    <w:rsid w:val="00B35460"/>
    <w:rsid w:val="00B65E60"/>
    <w:rsid w:val="00B65EC4"/>
    <w:rsid w:val="00B804D6"/>
    <w:rsid w:val="00BE22F2"/>
    <w:rsid w:val="00BF790A"/>
    <w:rsid w:val="00C11C3F"/>
    <w:rsid w:val="00C35F36"/>
    <w:rsid w:val="00C5126B"/>
    <w:rsid w:val="00C6409A"/>
    <w:rsid w:val="00CB6F1F"/>
    <w:rsid w:val="00CD3CA8"/>
    <w:rsid w:val="00D15B4F"/>
    <w:rsid w:val="00D27322"/>
    <w:rsid w:val="00D407DA"/>
    <w:rsid w:val="00D6079C"/>
    <w:rsid w:val="00D722FC"/>
    <w:rsid w:val="00D870D6"/>
    <w:rsid w:val="00DB3D2D"/>
    <w:rsid w:val="00DE7147"/>
    <w:rsid w:val="00DF0077"/>
    <w:rsid w:val="00E12DA0"/>
    <w:rsid w:val="00E16BF6"/>
    <w:rsid w:val="00E461F7"/>
    <w:rsid w:val="00E57C0B"/>
    <w:rsid w:val="00E673AB"/>
    <w:rsid w:val="00E74779"/>
    <w:rsid w:val="00E94D88"/>
    <w:rsid w:val="00EE1BCC"/>
    <w:rsid w:val="00F01113"/>
    <w:rsid w:val="00F17FA4"/>
    <w:rsid w:val="00F31068"/>
    <w:rsid w:val="00FA1100"/>
    <w:rsid w:val="00FA4A23"/>
    <w:rsid w:val="00FB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58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F7517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7517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Andrea.Knicka</dc:creator>
  <cp:lastModifiedBy>Petr Dvořák</cp:lastModifiedBy>
  <cp:revision>2</cp:revision>
  <cp:lastPrinted>2016-01-07T06:20:00Z</cp:lastPrinted>
  <dcterms:created xsi:type="dcterms:W3CDTF">2016-02-21T20:56:00Z</dcterms:created>
  <dcterms:modified xsi:type="dcterms:W3CDTF">2016-02-21T20:56:00Z</dcterms:modified>
</cp:coreProperties>
</file>